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1B574AC2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407522">
        <w:rPr>
          <w:rFonts w:asciiTheme="majorBidi" w:hAnsiTheme="majorBidi" w:cstheme="majorBidi"/>
          <w:color w:val="FF0000"/>
        </w:rPr>
        <w:t>887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5E56DD76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02-1- </w:t>
      </w:r>
      <w:r w:rsidR="00BD0D7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8</w:t>
      </w:r>
      <w:r w:rsidR="0040752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87-</w:t>
      </w:r>
      <w:r w:rsidR="00945A7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680D7F58" w:rsidR="00B15FE6" w:rsidRPr="00BD0D72" w:rsidRDefault="00407522" w:rsidP="00BD0D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Hlk70064317"/>
      <w:r>
        <w:rPr>
          <w:rFonts w:ascii="Times New Roman" w:hAnsi="Times New Roman" w:cs="Times New Roman"/>
        </w:rPr>
        <w:t xml:space="preserve">Kandidatkinji </w:t>
      </w:r>
      <w:r w:rsidRPr="00F61039">
        <w:rPr>
          <w:rFonts w:ascii="Times New Roman" w:hAnsi="Times New Roman" w:cs="Times New Roman"/>
          <w:b/>
          <w:bCs/>
        </w:rPr>
        <w:t>Amili ( Aljo) Čaušević, rođ. Bešlagić</w:t>
      </w:r>
      <w:r>
        <w:rPr>
          <w:rFonts w:ascii="Times New Roman" w:hAnsi="Times New Roman" w:cs="Times New Roman"/>
        </w:rPr>
        <w:t>, rođena 12.05.1982. godine u Tešnju, Općina Tešanj, Bosna i Hercegovina</w:t>
      </w:r>
      <w:r w:rsidR="00AE7118" w:rsidRPr="00BC4FAD">
        <w:rPr>
          <w:rFonts w:ascii="Times New Roman" w:hAnsi="Times New Roman" w:cs="Times New Roman"/>
        </w:rPr>
        <w:t>,</w:t>
      </w:r>
      <w:r w:rsidR="00AE7118"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AE7118"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 xml:space="preserve">na odsjeku SOCIJALNI RAD.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1EC9917E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„MAGISTAR SOCI</w:t>
      </w:r>
      <w:r w:rsidR="003F2087">
        <w:rPr>
          <w:rFonts w:asciiTheme="majorBidi" w:eastAsia="Times New Roman" w:hAnsiTheme="majorBidi" w:cstheme="majorBidi"/>
          <w:b/>
          <w:bCs/>
          <w:lang w:eastAsia="bs-Latn-BA"/>
        </w:rPr>
        <w:t>JALNOG RADA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B4942" w14:textId="77777777" w:rsidR="007C5068" w:rsidRDefault="007C5068" w:rsidP="00E43312">
      <w:pPr>
        <w:spacing w:after="0" w:line="240" w:lineRule="auto"/>
      </w:pPr>
      <w:r>
        <w:separator/>
      </w:r>
    </w:p>
  </w:endnote>
  <w:endnote w:type="continuationSeparator" w:id="0">
    <w:p w14:paraId="1E43B1D5" w14:textId="77777777" w:rsidR="007C5068" w:rsidRDefault="007C5068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0D34" w14:textId="77777777" w:rsidR="007C5068" w:rsidRDefault="007C5068" w:rsidP="00E43312">
      <w:pPr>
        <w:spacing w:after="0" w:line="240" w:lineRule="auto"/>
      </w:pPr>
      <w:r>
        <w:separator/>
      </w:r>
    </w:p>
  </w:footnote>
  <w:footnote w:type="continuationSeparator" w:id="0">
    <w:p w14:paraId="3F2751F0" w14:textId="77777777" w:rsidR="007C5068" w:rsidRDefault="007C5068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14D29"/>
    <w:rsid w:val="0002723A"/>
    <w:rsid w:val="00027F3F"/>
    <w:rsid w:val="000452FB"/>
    <w:rsid w:val="000612B4"/>
    <w:rsid w:val="00061337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63C8A"/>
    <w:rsid w:val="003A667D"/>
    <w:rsid w:val="003B2F32"/>
    <w:rsid w:val="003E1FF3"/>
    <w:rsid w:val="003F2087"/>
    <w:rsid w:val="003F47E1"/>
    <w:rsid w:val="00407522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7C5068"/>
    <w:rsid w:val="00803680"/>
    <w:rsid w:val="008319F7"/>
    <w:rsid w:val="00833EFC"/>
    <w:rsid w:val="008720B8"/>
    <w:rsid w:val="00897F78"/>
    <w:rsid w:val="008B1158"/>
    <w:rsid w:val="008C1CEA"/>
    <w:rsid w:val="009248DC"/>
    <w:rsid w:val="00945A73"/>
    <w:rsid w:val="009A5429"/>
    <w:rsid w:val="009B12B0"/>
    <w:rsid w:val="009D653B"/>
    <w:rsid w:val="009F2689"/>
    <w:rsid w:val="009F3776"/>
    <w:rsid w:val="00A12F37"/>
    <w:rsid w:val="00A236FA"/>
    <w:rsid w:val="00A325EE"/>
    <w:rsid w:val="00A86215"/>
    <w:rsid w:val="00A93649"/>
    <w:rsid w:val="00AB24C5"/>
    <w:rsid w:val="00AB5DED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D0D72"/>
    <w:rsid w:val="00BD658C"/>
    <w:rsid w:val="00BF16C6"/>
    <w:rsid w:val="00C173DF"/>
    <w:rsid w:val="00C17542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5162"/>
    <w:rsid w:val="00DA5ACB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42A26"/>
    <w:rsid w:val="00F825C7"/>
    <w:rsid w:val="00F938F4"/>
    <w:rsid w:val="00FA1E78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8</cp:revision>
  <dcterms:created xsi:type="dcterms:W3CDTF">2021-07-02T05:41:00Z</dcterms:created>
  <dcterms:modified xsi:type="dcterms:W3CDTF">2021-07-05T08:57:00Z</dcterms:modified>
</cp:coreProperties>
</file>